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FBAAD1" w14:textId="5B64C3AA" w:rsidR="00E81978" w:rsidRDefault="00305D2E">
      <w:pPr>
        <w:pStyle w:val="Title"/>
      </w:pPr>
      <w:sdt>
        <w:sdtPr>
          <w:alias w:val="Title:"/>
          <w:tag w:val="Title:"/>
          <w:id w:val="726351117"/>
          <w:placeholder>
            <w:docPart w:val="A6D44EF656AD4ACA9320DA675E2B800C"/>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510D68">
            <w:t>Clinical and Actuarial Approaches in an Investigation</w:t>
          </w:r>
        </w:sdtContent>
      </w:sdt>
    </w:p>
    <w:p w14:paraId="5CD4B7BD" w14:textId="37FDD686" w:rsidR="00B823AA" w:rsidRDefault="00510D68" w:rsidP="00B823AA">
      <w:pPr>
        <w:pStyle w:val="Title2"/>
      </w:pPr>
      <w:r>
        <w:t>(Student’s Name)</w:t>
      </w:r>
    </w:p>
    <w:p w14:paraId="6799C71E" w14:textId="77777777" w:rsidR="00E81978" w:rsidRDefault="00305D2E" w:rsidP="00B823AA">
      <w:pPr>
        <w:pStyle w:val="Title2"/>
      </w:pPr>
      <w:sdt>
        <w:sdtPr>
          <w:alias w:val="Institutional Affiliation(s):"/>
          <w:tag w:val="Institutional Affiliation(s):"/>
          <w:id w:val="-1771543088"/>
          <w:placeholder>
            <w:docPart w:val="91AC0527DD5D476787347936DEBC8199"/>
          </w:placeholder>
          <w:temporary/>
          <w:showingPlcHdr/>
          <w15:appearance w15:val="hidden"/>
          <w:text/>
        </w:sdtPr>
        <w:sdtEndPr/>
        <w:sdtContent>
          <w:r w:rsidR="005D3A03">
            <w:t>[Institutional Affiliation(s)]</w:t>
          </w:r>
        </w:sdtContent>
      </w:sdt>
    </w:p>
    <w:p w14:paraId="5EB51E3B" w14:textId="201B9D29" w:rsidR="00E81978" w:rsidRDefault="00E81978" w:rsidP="00B823AA">
      <w:pPr>
        <w:pStyle w:val="Title2"/>
      </w:pPr>
    </w:p>
    <w:sdt>
      <w:sdtPr>
        <w:alias w:val="Abstract:"/>
        <w:tag w:val="Abstract:"/>
        <w:id w:val="202146031"/>
        <w:placeholder>
          <w:docPart w:val="15858A017D684CE3A495B59CBA89CE4E"/>
        </w:placeholder>
        <w:temporary/>
        <w:showingPlcHdr/>
        <w15:appearance w15:val="hidden"/>
      </w:sdtPr>
      <w:sdtEndPr/>
      <w:sdtContent>
        <w:p w14:paraId="6555B6AA" w14:textId="11F01840" w:rsidR="00E81978" w:rsidRDefault="005D3A03">
          <w:pPr>
            <w:pStyle w:val="SectionTitle"/>
          </w:pPr>
          <w:r>
            <w:t>Abstract</w:t>
          </w:r>
        </w:p>
      </w:sdtContent>
    </w:sdt>
    <w:p w14:paraId="6069AE8D" w14:textId="4F18C2F3" w:rsidR="00510D68" w:rsidRPr="00C31D30" w:rsidRDefault="00FB037C" w:rsidP="00510D68">
      <w:pPr>
        <w:ind w:firstLine="0"/>
      </w:pPr>
      <w:r>
        <w:t xml:space="preserve">To carry out </w:t>
      </w:r>
      <w:r w:rsidR="00510D68">
        <w:t xml:space="preserve">an investigation, </w:t>
      </w:r>
      <w:r>
        <w:t>approaches</w:t>
      </w:r>
      <w:r w:rsidR="00510D68">
        <w:t xml:space="preserve"> can</w:t>
      </w:r>
      <w:r>
        <w:t xml:space="preserve"> either</w:t>
      </w:r>
      <w:r w:rsidR="00510D68">
        <w:t xml:space="preserve"> be actuarial or clinical. Clinical</w:t>
      </w:r>
      <w:r>
        <w:t xml:space="preserve"> approach</w:t>
      </w:r>
      <w:r w:rsidR="00510D68">
        <w:t xml:space="preserve"> is where an individual is provided with information of a certain case and gives a verdict. In actuarial </w:t>
      </w:r>
      <w:r>
        <w:t>approach</w:t>
      </w:r>
      <w:r w:rsidR="00510D68">
        <w:t xml:space="preserve">, the conclusion absolutely depends on the relations between data and the event of interest. Below the two are discussed, and their application in the event of a missing child. </w:t>
      </w:r>
    </w:p>
    <w:p w14:paraId="0BA124EE" w14:textId="6E4C295D" w:rsidR="00E81978" w:rsidRDefault="00305D2E">
      <w:pPr>
        <w:pStyle w:val="SectionTitle"/>
      </w:pPr>
      <w:sdt>
        <w:sdtPr>
          <w:alias w:val="Section title:"/>
          <w:tag w:val="Section title:"/>
          <w:id w:val="984196707"/>
          <w:placeholder>
            <w:docPart w:val="FB591BA3602F467EB871DAE5481DE5BC"/>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510D68">
            <w:t>Clinical and Actuarial Approaches in an Investigation</w:t>
          </w:r>
        </w:sdtContent>
      </w:sdt>
    </w:p>
    <w:p w14:paraId="00D8866D" w14:textId="114C7872" w:rsidR="00510D68" w:rsidRDefault="00510D68" w:rsidP="00510D68">
      <w:r>
        <w:t xml:space="preserve">A missing child in a </w:t>
      </w:r>
      <w:r w:rsidR="00317D18">
        <w:t>neighborhood</w:t>
      </w:r>
      <w:r>
        <w:t xml:space="preserve"> is a very serious matter, therefo</w:t>
      </w:r>
      <w:r w:rsidR="00317D18">
        <w:t>r</w:t>
      </w:r>
      <w:r>
        <w:t>e delegating the matter to one individual to simply decide where the child might have gone, is risky. However, there are instances where the clinical approach fits appropriately. For example, if a child often runs to a friend’s or relative’s without notice, it’s easy to say they mi</w:t>
      </w:r>
      <w:r w:rsidR="00317D18">
        <w:t>g</w:t>
      </w:r>
      <w:r>
        <w:t xml:space="preserve">ht be there. The child could also be in a park, playing with friends. Moreover, if there </w:t>
      </w:r>
      <w:r w:rsidR="00317D18">
        <w:t>have</w:t>
      </w:r>
      <w:r>
        <w:t xml:space="preserve"> been cases of children missing in the area recently, it can be safe to conclude that those responsible belong together, or is the same person.</w:t>
      </w:r>
    </w:p>
    <w:p w14:paraId="5C411297" w14:textId="77777777" w:rsidR="00510D68" w:rsidRDefault="00510D68" w:rsidP="00510D68">
      <w:r>
        <w:t xml:space="preserve">On the contrary, if information about the child, like where they were seen last is provided, the actuarial approach can be used, since the officers in charge can trace the whereabouts of the child. Also, if there has never been an incident of a missing child in the area, the actuarial approach should be used, to prevent that from ever happening. This makes the residents feel more secure, and the kidnappers, if any are involved, threatened. In agreement, if any harm has been done by the perpetrators on the guardian of the child or parent, actuarial approach should be used to get to the bottom of the case. </w:t>
      </w:r>
    </w:p>
    <w:p w14:paraId="4773145B" w14:textId="755D40E0" w:rsidR="00510D68" w:rsidRDefault="00510D68" w:rsidP="00510D68">
      <w:r>
        <w:t xml:space="preserve">For the clinical approach, it is easy to find the child if the parents of the guardian or parents can provide information on the areas the child commonly visits, or wanted to visit but was denied permission. The officers should look in all these places, there is a possibility to find the child there. Also, children are easily carried away by things around them, out of curiosity. </w:t>
      </w:r>
    </w:p>
    <w:p w14:paraId="261D020E" w14:textId="3AC0111C" w:rsidR="00510D68" w:rsidRDefault="00510D68" w:rsidP="00510D68">
      <w:r>
        <w:t xml:space="preserve">A child may have followed an ice cream truck or a clown to a park without their realization, and forgotten their way back home. They may also have followed other children to a birthday party or an event in the </w:t>
      </w:r>
      <w:r w:rsidR="00317D18">
        <w:t>neighborhood</w:t>
      </w:r>
      <w:r>
        <w:t>. In the case this incident is an additional to previous ones, the clinical approach can be used to dictate that the same person or group is behind all the incidences, and the actuarial approach is applied to trace the perpetrators.</w:t>
      </w:r>
    </w:p>
    <w:p w14:paraId="067C7F17" w14:textId="049A243A" w:rsidR="00510D68" w:rsidRDefault="00510D68" w:rsidP="00510D68">
      <w:r>
        <w:lastRenderedPageBreak/>
        <w:t>If the guardian or parent of the child gives the information of when and where they last saw their child, officers can lead with that. For example, a mother may say that her child was in a pair of blue jeans, a pink t-shirt, pink shoes and blonde hair held in a ban, and she last saw them in the yard playing with other children. The officers in charge can ask the children where they las</w:t>
      </w:r>
      <w:r w:rsidR="00317D18">
        <w:t xml:space="preserve">t </w:t>
      </w:r>
      <w:r>
        <w:t>saw the missing child, and if they say the ice cream store, then the trace continues, thus the actuarial approach.</w:t>
      </w:r>
    </w:p>
    <w:p w14:paraId="7124550B" w14:textId="77777777" w:rsidR="00510D68" w:rsidRDefault="00510D68" w:rsidP="00510D68">
      <w:pPr>
        <w:ind w:firstLine="0"/>
      </w:pPr>
      <w:r>
        <w:tab/>
        <w:t xml:space="preserve">If the perpetrators harmed the parents or guardian before the disappearance of the child, the officers can begin the investigation by asking them people they might be on wrong terms with, or what the perpetrators said or demanded before disappearing with the child. Deducting meaning from the perpetrator’s message is of importance in tracing them. </w:t>
      </w:r>
    </w:p>
    <w:p w14:paraId="3967049E" w14:textId="77777777" w:rsidR="00510D68" w:rsidRDefault="00510D68" w:rsidP="00510D68"/>
    <w:p w14:paraId="1FA3EA9C" w14:textId="242A9472" w:rsidR="00E81978" w:rsidRDefault="00E81978">
      <w:pPr>
        <w:pStyle w:val="Heading1"/>
      </w:pPr>
    </w:p>
    <w:sdt>
      <w:sdtPr>
        <w:rPr>
          <w:rFonts w:asciiTheme="minorHAnsi" w:eastAsiaTheme="minorEastAsia" w:hAnsiTheme="minorHAnsi" w:cstheme="minorBidi"/>
        </w:rPr>
        <w:id w:val="62297111"/>
        <w:docPartObj>
          <w:docPartGallery w:val="Bibliographies"/>
          <w:docPartUnique/>
        </w:docPartObj>
      </w:sdtPr>
      <w:sdtEndPr/>
      <w:sdtContent>
        <w:p w14:paraId="2CB72A91" w14:textId="77777777" w:rsidR="00E81978" w:rsidRDefault="005D3A03">
          <w:pPr>
            <w:pStyle w:val="SectionTitle"/>
          </w:pPr>
          <w:r>
            <w:t>References</w:t>
          </w:r>
        </w:p>
        <w:p w14:paraId="4AC6F4CD" w14:textId="77777777" w:rsidR="00317D18" w:rsidRDefault="00305D2E" w:rsidP="00C31D30">
          <w:pPr>
            <w:pStyle w:val="Bibliography"/>
          </w:pPr>
        </w:p>
      </w:sdtContent>
    </w:sdt>
    <w:p w14:paraId="406406B3" w14:textId="4736CAF9" w:rsidR="00E81978" w:rsidRDefault="00317D18" w:rsidP="00317D18">
      <w:pPr>
        <w:pStyle w:val="Bibliography"/>
        <w:rPr>
          <w:rFonts w:ascii="Arial" w:hAnsi="Arial" w:cs="Arial"/>
          <w:color w:val="222222"/>
          <w:sz w:val="20"/>
          <w:szCs w:val="20"/>
          <w:shd w:val="clear" w:color="auto" w:fill="FFFFFF"/>
        </w:rPr>
      </w:pPr>
      <w:r w:rsidRPr="00317D18">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Dawes, R. M., Faust, D., &amp; Meehl, P. E. (1989). Clinical versus actuarial judgment. </w:t>
      </w:r>
      <w:r>
        <w:rPr>
          <w:rFonts w:ascii="Arial" w:hAnsi="Arial" w:cs="Arial"/>
          <w:i/>
          <w:iCs/>
          <w:color w:val="222222"/>
          <w:sz w:val="20"/>
          <w:szCs w:val="20"/>
          <w:shd w:val="clear" w:color="auto" w:fill="FFFFFF"/>
        </w:rPr>
        <w:t>Science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243</w:t>
      </w:r>
      <w:r>
        <w:rPr>
          <w:rFonts w:ascii="Arial" w:hAnsi="Arial" w:cs="Arial"/>
          <w:color w:val="222222"/>
          <w:sz w:val="20"/>
          <w:szCs w:val="20"/>
          <w:shd w:val="clear" w:color="auto" w:fill="FFFFFF"/>
        </w:rPr>
        <w:t>(4899), 1668-1674.</w:t>
      </w:r>
    </w:p>
    <w:p w14:paraId="1C157F09" w14:textId="3A2C741F" w:rsidR="00317D18" w:rsidRPr="00317D18" w:rsidRDefault="00317D18" w:rsidP="00317D18">
      <w:pPr>
        <w:ind w:hanging="720"/>
      </w:pPr>
      <w:r>
        <w:rPr>
          <w:rFonts w:ascii="Arial" w:hAnsi="Arial" w:cs="Arial"/>
          <w:color w:val="222222"/>
          <w:sz w:val="20"/>
          <w:szCs w:val="20"/>
          <w:shd w:val="clear" w:color="auto" w:fill="FFFFFF"/>
        </w:rPr>
        <w:t>Sjöstedt, G., &amp; Grann, M. (2002). Risk assessment: What is being predicted by actuarial prediction instruments?. </w:t>
      </w:r>
      <w:r>
        <w:rPr>
          <w:rFonts w:ascii="Arial" w:hAnsi="Arial" w:cs="Arial"/>
          <w:i/>
          <w:iCs/>
          <w:color w:val="222222"/>
          <w:sz w:val="20"/>
          <w:szCs w:val="20"/>
          <w:shd w:val="clear" w:color="auto" w:fill="FFFFFF"/>
        </w:rPr>
        <w:t>International journal of forensic mental health</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w:t>
      </w:r>
      <w:r>
        <w:rPr>
          <w:rFonts w:ascii="Arial" w:hAnsi="Arial" w:cs="Arial"/>
          <w:color w:val="222222"/>
          <w:sz w:val="20"/>
          <w:szCs w:val="20"/>
          <w:shd w:val="clear" w:color="auto" w:fill="FFFFFF"/>
        </w:rPr>
        <w:t>(2), 179-183.</w:t>
      </w:r>
    </w:p>
    <w:sectPr w:rsidR="00317D18" w:rsidRPr="00317D18">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5798AA" w14:textId="77777777" w:rsidR="0031199A" w:rsidRDefault="0031199A">
      <w:pPr>
        <w:spacing w:line="240" w:lineRule="auto"/>
      </w:pPr>
      <w:r>
        <w:separator/>
      </w:r>
    </w:p>
    <w:p w14:paraId="20886875" w14:textId="77777777" w:rsidR="0031199A" w:rsidRDefault="0031199A"/>
  </w:endnote>
  <w:endnote w:type="continuationSeparator" w:id="0">
    <w:p w14:paraId="4D411E48" w14:textId="77777777" w:rsidR="0031199A" w:rsidRDefault="0031199A">
      <w:pPr>
        <w:spacing w:line="240" w:lineRule="auto"/>
      </w:pPr>
      <w:r>
        <w:continuationSeparator/>
      </w:r>
    </w:p>
    <w:p w14:paraId="56338E7D" w14:textId="77777777" w:rsidR="0031199A" w:rsidRDefault="003119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notTrueType/>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5A7C2F" w14:textId="77777777" w:rsidR="0031199A" w:rsidRDefault="0031199A">
      <w:pPr>
        <w:spacing w:line="240" w:lineRule="auto"/>
      </w:pPr>
      <w:r>
        <w:separator/>
      </w:r>
    </w:p>
    <w:p w14:paraId="0B5AEDB2" w14:textId="77777777" w:rsidR="0031199A" w:rsidRDefault="0031199A"/>
  </w:footnote>
  <w:footnote w:type="continuationSeparator" w:id="0">
    <w:p w14:paraId="2EDAAD4E" w14:textId="77777777" w:rsidR="0031199A" w:rsidRDefault="0031199A">
      <w:pPr>
        <w:spacing w:line="240" w:lineRule="auto"/>
      </w:pPr>
      <w:r>
        <w:continuationSeparator/>
      </w:r>
    </w:p>
    <w:p w14:paraId="16374774" w14:textId="77777777" w:rsidR="0031199A" w:rsidRDefault="003119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4C8DA1" w14:textId="1591B7E2" w:rsidR="00E81978" w:rsidRDefault="00305D2E">
    <w:pPr>
      <w:pStyle w:val="Header"/>
    </w:pPr>
    <w:sdt>
      <w:sdtPr>
        <w:rPr>
          <w:rStyle w:val="Strong"/>
        </w:rPr>
        <w:alias w:val="Running head"/>
        <w:tag w:val=""/>
        <w:id w:val="12739865"/>
        <w:placeholder>
          <w:docPart w:val="C5C2F8854CD54D2B88CF14A76FAD620A"/>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510D68">
          <w:rPr>
            <w:rStyle w:val="Strong"/>
          </w:rPr>
          <w:t>INVESTIGATING A MISSING CHILD</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0D3F41">
      <w:rPr>
        <w:rStyle w:val="Strong"/>
        <w:noProof/>
      </w:rPr>
      <w:t>8</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B87C1F" w14:textId="281A0880" w:rsidR="00E81978" w:rsidRDefault="005D3A03">
    <w:pPr>
      <w:pStyle w:val="Header"/>
      <w:rPr>
        <w:rStyle w:val="Strong"/>
      </w:rPr>
    </w:pPr>
    <w:r>
      <w:t xml:space="preserve">Running head: </w:t>
    </w:r>
    <w:sdt>
      <w:sdtPr>
        <w:rPr>
          <w:rStyle w:val="Strong"/>
        </w:rPr>
        <w:alias w:val="Running head"/>
        <w:tag w:val=""/>
        <w:id w:val="-696842620"/>
        <w:placeholder>
          <w:docPart w:val="8EEF75B80B414FB9B28C11CA7F6493D8"/>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510D68">
          <w:rPr>
            <w:rStyle w:val="Strong"/>
          </w:rPr>
          <w:t>INVESTIGATING A MISSING CHILD</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0D3F41">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attachedTemplate r:id="rId1"/>
  <w:defaultTabStop w:val="720"/>
  <w:characterSpacingControl w:val="doNotCompress"/>
  <w:hdrShapeDefaults>
    <o:shapedefaults v:ext="edit" spidmax="4097"/>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D68"/>
    <w:rsid w:val="000D3F41"/>
    <w:rsid w:val="00245127"/>
    <w:rsid w:val="00305D2E"/>
    <w:rsid w:val="0031199A"/>
    <w:rsid w:val="00317D18"/>
    <w:rsid w:val="00355DCA"/>
    <w:rsid w:val="00510D68"/>
    <w:rsid w:val="00551A02"/>
    <w:rsid w:val="005534FA"/>
    <w:rsid w:val="005D3A03"/>
    <w:rsid w:val="008002C0"/>
    <w:rsid w:val="008C5323"/>
    <w:rsid w:val="009A6A3B"/>
    <w:rsid w:val="00B823AA"/>
    <w:rsid w:val="00BA45DB"/>
    <w:rsid w:val="00BF4184"/>
    <w:rsid w:val="00C0601E"/>
    <w:rsid w:val="00C31D30"/>
    <w:rsid w:val="00CD6E39"/>
    <w:rsid w:val="00CF6E91"/>
    <w:rsid w:val="00D85B68"/>
    <w:rsid w:val="00E6004D"/>
    <w:rsid w:val="00E81978"/>
    <w:rsid w:val="00F379B7"/>
    <w:rsid w:val="00F525FA"/>
    <w:rsid w:val="00FB037C"/>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9D0721"/>
  <w15:chartTrackingRefBased/>
  <w15:docId w15:val="{BD60055A-44DA-49C5-80AF-F44E0108F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theme" Target="theme/theme1.xml" /><Relationship Id="rId3" Type="http://schemas.openxmlformats.org/officeDocument/2006/relationships/numbering" Target="numbering.xml" /><Relationship Id="rId7" Type="http://schemas.openxmlformats.org/officeDocument/2006/relationships/footnotes" Target="footnotes.xml" /><Relationship Id="rId12" Type="http://schemas.openxmlformats.org/officeDocument/2006/relationships/glossaryDocument" Target="glossary/document.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fontTable" Target="fontTable.xml" /><Relationship Id="rId5" Type="http://schemas.openxmlformats.org/officeDocument/2006/relationships/settings" Target="settings.xml" /><Relationship Id="rId10" Type="http://schemas.openxmlformats.org/officeDocument/2006/relationships/header" Target="header2.xml" /><Relationship Id="rId4" Type="http://schemas.openxmlformats.org/officeDocument/2006/relationships/styles" Target="styles.xml" /><Relationship Id="rId9" Type="http://schemas.openxmlformats.org/officeDocument/2006/relationships/header" Target="header1.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AppData\Roaming\Microsoft\Templates\APA%20style%20report%20(6th%20edition)(2).dotx"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6D44EF656AD4ACA9320DA675E2B800C"/>
        <w:category>
          <w:name w:val="General"/>
          <w:gallery w:val="placeholder"/>
        </w:category>
        <w:types>
          <w:type w:val="bbPlcHdr"/>
        </w:types>
        <w:behaviors>
          <w:behavior w:val="content"/>
        </w:behaviors>
        <w:guid w:val="{2C7CD137-1F1A-489F-B926-E1B754BF5734}"/>
      </w:docPartPr>
      <w:docPartBody>
        <w:p w:rsidR="00CF5C15" w:rsidRDefault="008068C4">
          <w:pPr>
            <w:pStyle w:val="A6D44EF656AD4ACA9320DA675E2B800C"/>
          </w:pPr>
          <w:r>
            <w:t>[Title Here, up to 12 Words, on One to Two Lines]</w:t>
          </w:r>
        </w:p>
      </w:docPartBody>
    </w:docPart>
    <w:docPart>
      <w:docPartPr>
        <w:name w:val="91AC0527DD5D476787347936DEBC8199"/>
        <w:category>
          <w:name w:val="General"/>
          <w:gallery w:val="placeholder"/>
        </w:category>
        <w:types>
          <w:type w:val="bbPlcHdr"/>
        </w:types>
        <w:behaviors>
          <w:behavior w:val="content"/>
        </w:behaviors>
        <w:guid w:val="{DBF04F30-8D0C-4D01-A31D-6CDE17A051F0}"/>
      </w:docPartPr>
      <w:docPartBody>
        <w:p w:rsidR="00CF5C15" w:rsidRDefault="008068C4">
          <w:pPr>
            <w:pStyle w:val="91AC0527DD5D476787347936DEBC8199"/>
          </w:pPr>
          <w:r>
            <w:t>[Institutional Affiliation(s)]</w:t>
          </w:r>
        </w:p>
      </w:docPartBody>
    </w:docPart>
    <w:docPart>
      <w:docPartPr>
        <w:name w:val="15858A017D684CE3A495B59CBA89CE4E"/>
        <w:category>
          <w:name w:val="General"/>
          <w:gallery w:val="placeholder"/>
        </w:category>
        <w:types>
          <w:type w:val="bbPlcHdr"/>
        </w:types>
        <w:behaviors>
          <w:behavior w:val="content"/>
        </w:behaviors>
        <w:guid w:val="{B28B0E14-2401-4792-8315-BA72D3A1FC36}"/>
      </w:docPartPr>
      <w:docPartBody>
        <w:p w:rsidR="00CF5C15" w:rsidRDefault="008068C4">
          <w:pPr>
            <w:pStyle w:val="15858A017D684CE3A495B59CBA89CE4E"/>
          </w:pPr>
          <w:r>
            <w:t>Abstract</w:t>
          </w:r>
        </w:p>
      </w:docPartBody>
    </w:docPart>
    <w:docPart>
      <w:docPartPr>
        <w:name w:val="FB591BA3602F467EB871DAE5481DE5BC"/>
        <w:category>
          <w:name w:val="General"/>
          <w:gallery w:val="placeholder"/>
        </w:category>
        <w:types>
          <w:type w:val="bbPlcHdr"/>
        </w:types>
        <w:behaviors>
          <w:behavior w:val="content"/>
        </w:behaviors>
        <w:guid w:val="{349B3752-F20D-4038-A778-4D89E6CB3890}"/>
      </w:docPartPr>
      <w:docPartBody>
        <w:p w:rsidR="00CF5C15" w:rsidRDefault="008068C4">
          <w:pPr>
            <w:pStyle w:val="FB591BA3602F467EB871DAE5481DE5BC"/>
          </w:pPr>
          <w:r>
            <w:t>[Title Here, up to 12 Words, on One to Two Lines]</w:t>
          </w:r>
        </w:p>
      </w:docPartBody>
    </w:docPart>
    <w:docPart>
      <w:docPartPr>
        <w:name w:val="C5C2F8854CD54D2B88CF14A76FAD620A"/>
        <w:category>
          <w:name w:val="General"/>
          <w:gallery w:val="placeholder"/>
        </w:category>
        <w:types>
          <w:type w:val="bbPlcHdr"/>
        </w:types>
        <w:behaviors>
          <w:behavior w:val="content"/>
        </w:behaviors>
        <w:guid w:val="{AA02A5EF-BF9D-45E5-96DB-03F4C3F6F604}"/>
      </w:docPartPr>
      <w:docPartBody>
        <w:p w:rsidR="00CF5C15" w:rsidRDefault="008068C4">
          <w:pPr>
            <w:pStyle w:val="C5C2F8854CD54D2B88CF14A76FAD620A"/>
          </w:pPr>
          <w:r w:rsidRPr="005D3A03">
            <w:t>Figures title:</w:t>
          </w:r>
        </w:p>
      </w:docPartBody>
    </w:docPart>
    <w:docPart>
      <w:docPartPr>
        <w:name w:val="8EEF75B80B414FB9B28C11CA7F6493D8"/>
        <w:category>
          <w:name w:val="General"/>
          <w:gallery w:val="placeholder"/>
        </w:category>
        <w:types>
          <w:type w:val="bbPlcHdr"/>
        </w:types>
        <w:behaviors>
          <w:behavior w:val="content"/>
        </w:behaviors>
        <w:guid w:val="{D8B9A940-DFFE-4440-8C7F-D185B17130DE}"/>
      </w:docPartPr>
      <w:docPartBody>
        <w:p w:rsidR="00CF5C15" w:rsidRDefault="008068C4">
          <w:pPr>
            <w:pStyle w:val="8EEF75B80B414FB9B28C11CA7F6493D8"/>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notTrueType/>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8C4"/>
    <w:rsid w:val="008068C4"/>
    <w:rsid w:val="00CF5C15"/>
    <w:rsid w:val="00EE5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6D44EF656AD4ACA9320DA675E2B800C">
    <w:name w:val="A6D44EF656AD4ACA9320DA675E2B800C"/>
  </w:style>
  <w:style w:type="paragraph" w:customStyle="1" w:styleId="91AC0527DD5D476787347936DEBC8199">
    <w:name w:val="91AC0527DD5D476787347936DEBC8199"/>
  </w:style>
  <w:style w:type="paragraph" w:customStyle="1" w:styleId="15858A017D684CE3A495B59CBA89CE4E">
    <w:name w:val="15858A017D684CE3A495B59CBA89CE4E"/>
  </w:style>
  <w:style w:type="character" w:styleId="Emphasis">
    <w:name w:val="Emphasis"/>
    <w:basedOn w:val="DefaultParagraphFont"/>
    <w:uiPriority w:val="4"/>
    <w:unhideWhenUsed/>
    <w:qFormat/>
    <w:rPr>
      <w:i/>
      <w:iCs/>
    </w:rPr>
  </w:style>
  <w:style w:type="paragraph" w:customStyle="1" w:styleId="FB591BA3602F467EB871DAE5481DE5BC">
    <w:name w:val="FB591BA3602F467EB871DAE5481DE5BC"/>
  </w:style>
  <w:style w:type="paragraph" w:customStyle="1" w:styleId="C5C2F8854CD54D2B88CF14A76FAD620A">
    <w:name w:val="C5C2F8854CD54D2B88CF14A76FAD620A"/>
  </w:style>
  <w:style w:type="paragraph" w:customStyle="1" w:styleId="8EEF75B80B414FB9B28C11CA7F6493D8">
    <w:name w:val="8EEF75B80B414FB9B28C11CA7F6493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INVESTIGATING A MISSING CHILD</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9BE1166-986F-439F-8974-61FA54510365}">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APA%20style%20report%20(6th%20edition)(2).dotx</Template>
  <TotalTime>0</TotalTime>
  <Pages>5</Pages>
  <Words>561</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and Actuarial Approaches in an Investigation</dc:title>
  <dc:subject/>
  <dc:creator>ASUS</dc:creator>
  <cp:keywords/>
  <dc:description/>
  <cp:lastModifiedBy>254716226303</cp:lastModifiedBy>
  <cp:revision>2</cp:revision>
  <dcterms:created xsi:type="dcterms:W3CDTF">2021-01-02T15:25:00Z</dcterms:created>
  <dcterms:modified xsi:type="dcterms:W3CDTF">2021-01-02T15:25:00Z</dcterms:modified>
</cp:coreProperties>
</file>